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DE51" w14:textId="0BC400D2" w:rsidR="00276D9F" w:rsidRPr="00276D9F" w:rsidRDefault="00276D9F" w:rsidP="00AC4F96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SPOTKANIE PIERWSZE </w:t>
      </w:r>
      <w:r w:rsidR="00254129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–</w:t>
      </w: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 KOMUNIA</w:t>
      </w:r>
    </w:p>
    <w:p w14:paraId="7A7F5BE7" w14:textId="05BEBDFA" w:rsidR="00AC4F96" w:rsidRPr="00276D9F" w:rsidRDefault="00AC4F96" w:rsidP="00AC4F96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>Materiały do rozeznawania dla Parafialnych Zespołów Presynodalnych</w:t>
      </w:r>
    </w:p>
    <w:p w14:paraId="02F5AD93" w14:textId="77777777" w:rsidR="00AC4F96" w:rsidRPr="00276D9F" w:rsidRDefault="00AC4F96" w:rsidP="00AC4F96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 xml:space="preserve"> (grudzień 2023 – marzec 2024)</w:t>
      </w:r>
    </w:p>
    <w:p w14:paraId="26108F3C" w14:textId="524FE049" w:rsidR="00AC4F96" w:rsidRPr="00276D9F" w:rsidRDefault="00AC4F96" w:rsidP="00AC4F96">
      <w:pPr>
        <w:spacing w:before="120" w:after="120" w:line="240" w:lineRule="auto"/>
        <w:jc w:val="center"/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</w:pP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>Wprowadzenie opisujące metodę pracy z poniższymi pytaniami dostępne</w:t>
      </w:r>
      <w:r w:rsid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jest</w:t>
      </w: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na stronie internetowej www.synodwroclaw.pl</w:t>
      </w:r>
    </w:p>
    <w:p w14:paraId="6453B86E" w14:textId="77777777" w:rsidR="00AC4F96" w:rsidRDefault="00AC4F96" w:rsidP="00AC4F96">
      <w:pPr>
        <w:spacing w:before="120" w:after="120" w:line="240" w:lineRule="auto"/>
        <w:jc w:val="center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</w:p>
    <w:p w14:paraId="2D71F2B9" w14:textId="77777777" w:rsidR="00AC4F96" w:rsidRPr="00BD1708" w:rsidRDefault="00AC4F96" w:rsidP="00AC4F96">
      <w:pPr>
        <w:spacing w:before="120" w:after="120" w:line="240" w:lineRule="auto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Pytania do rozeznawania osobistego i w zespole:</w:t>
      </w:r>
    </w:p>
    <w:p w14:paraId="07796406" w14:textId="77777777" w:rsidR="00AC4F96" w:rsidRPr="00BD1708" w:rsidRDefault="00AC4F96" w:rsidP="00AC4F96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1. Dlaczego jesteśmy razem? Co/kto gromadzi nas w Kościele?</w:t>
      </w:r>
    </w:p>
    <w:p w14:paraId="56FEF23A" w14:textId="77777777" w:rsidR="00AC4F96" w:rsidRPr="00BD1708" w:rsidRDefault="00AC4F96" w:rsidP="00AC4F96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2. Co dzisiaj w naszej jedności wymaga nawrócenia (w naszej parafii, dekanacie,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diecezji)? Jakie konkretne rozwiązania, moim zdaniem, mogą przynieść odnowę?</w:t>
      </w:r>
    </w:p>
    <w:p w14:paraId="0D9F6FD1" w14:textId="77777777" w:rsidR="00AC4F96" w:rsidRPr="00F77053" w:rsidRDefault="00AC4F96" w:rsidP="00AC4F96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3. Przed jakimi szansami i trudnościami w przeżywaniu jedności staniemy w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 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przyszłości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(w naszej parafii, dekanacie, diecezji)? Co zrobić, by wykorzystać szanse i zaradzić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trudnościom?</w:t>
      </w:r>
    </w:p>
    <w:p w14:paraId="3891691C" w14:textId="77777777" w:rsidR="00AC4F96" w:rsidRDefault="00AC4F96" w:rsidP="00AC4F96">
      <w:pPr>
        <w:spacing w:before="120" w:after="120" w:line="240" w:lineRule="auto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</w:p>
    <w:p w14:paraId="3D7A3C40" w14:textId="34DBCB08" w:rsidR="00AC4F96" w:rsidRPr="00F77053" w:rsidRDefault="00AC4F96" w:rsidP="00AC4F96">
      <w:pPr>
        <w:spacing w:before="120" w:after="120" w:line="240" w:lineRule="auto"/>
        <w:jc w:val="both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Fragment z Pisma Świętego</w:t>
      </w:r>
      <w:r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wraz z komentarzem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przygotowujący do odpowiedzi na</w:t>
      </w:r>
      <w:r w:rsidR="00254129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 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postawione pytania:</w:t>
      </w:r>
    </w:p>
    <w:p w14:paraId="15663E5E" w14:textId="77777777" w:rsidR="00AC4F96" w:rsidRPr="00243640" w:rsidRDefault="00AC4F96" w:rsidP="00AC4F96">
      <w:pPr>
        <w:spacing w:before="120" w:after="120" w:line="240" w:lineRule="auto"/>
        <w:rPr>
          <w:rFonts w:ascii="Lato" w:eastAsia="Times New Roman" w:hAnsi="Lato" w:cs="Arial"/>
          <w:i/>
          <w:iCs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243640">
        <w:rPr>
          <w:rFonts w:ascii="Lato" w:eastAsia="Times New Roman" w:hAnsi="Lato" w:cs="Arial"/>
          <w:i/>
          <w:iCs/>
          <w:color w:val="000000"/>
          <w:kern w:val="0"/>
          <w:sz w:val="24"/>
          <w:szCs w:val="24"/>
          <w:shd w:val="clear" w:color="auto" w:fill="FFFFFF"/>
          <w:lang w:eastAsia="pl-PL" w:bidi="ar-SA"/>
        </w:rPr>
        <w:t>List do Kościoła w Tiatyrze</w:t>
      </w:r>
    </w:p>
    <w:p w14:paraId="0E734AD5" w14:textId="2403A2A4" w:rsidR="00AC4F96" w:rsidRPr="00BD1708" w:rsidRDefault="00AC4F96" w:rsidP="00AC4F96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Aniołowi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1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Kościoła w Tiatyrze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2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napisz: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To mówi Syn Boży: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Ten, który ma oczy jak płomień ognia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3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nogi Jego podobne są do drogocennego metalu.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Znam twoje czyny, miłość, wiarę, posługę i twoją wytrwałość,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czyny twoje ostatnie, liczniejsze od</w:t>
      </w:r>
      <w:r w:rsidR="00276D9F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pierwszych,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ale mam przeciw tobie to,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że pozwalasz działać niewieście </w:t>
      </w:r>
      <w:proofErr w:type="spellStart"/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Jezabel</w:t>
      </w:r>
      <w:proofErr w:type="spellEnd"/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4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która nazywa siebie prorokinią,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naucza i zwodzi moje sługi, by uprawiali rozpustę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5"/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spożywali ofiary składane bożkom.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Dałem jej czas, by się mogła nawrócić,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ona nie chce się odwrócić od swojej rozpusty.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Oto rzucam ją na łoże boleści,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na tych, co z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nią cudzołożą, [ześlę] wielki ucisk,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jeśli od czynów jej się nie odwrócą;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dzieci jej porażę śmiercią.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wszystkie Kościoły poznają,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że Ja jestem Ten, co przenika nerki 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serca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6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;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dam każdemu z was według waszych czynów.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Wam zaś, pozostałym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Tiatyrze, mówię,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wszystkim, co tej nauki się nie trzymają, tym, co – jak powiadają – nie poznali „głębin szatana”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7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nie nakładam na was nowego brzemienia,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to jednak, co macie, zatrzymajcie, aż przyjdę.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zwycięzcy i temu, co czynów mych strzeże do końca,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dam władzę nad poganami,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 rózgą żelazną będzie ich pasał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8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: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jak naczynie gliniane będą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lastRenderedPageBreak/>
        <w:t>rozbici –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jak i Ja [wszystko] to otrzymałem od mojego Ojca –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i dam mu gwiazdę poranną</w:t>
      </w:r>
      <w:r>
        <w:rPr>
          <w:rStyle w:val="Odwoanieprzypisudolnego"/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footnoteReference w:id="9"/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Kto ma uszy, niechaj posłyszy, co mówi Duch do Kościołów.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(</w:t>
      </w:r>
      <w:proofErr w:type="spellStart"/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Ap</w:t>
      </w:r>
      <w:proofErr w:type="spellEnd"/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2, 18-29)</w:t>
      </w:r>
    </w:p>
    <w:p w14:paraId="780A8712" w14:textId="77777777" w:rsidR="00AC4F96" w:rsidRPr="00243640" w:rsidRDefault="00AC4F96" w:rsidP="00AC4F96">
      <w:pPr>
        <w:spacing w:before="120" w:after="120" w:line="240" w:lineRule="auto"/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Komentarz </w:t>
      </w:r>
    </w:p>
    <w:p w14:paraId="46ECB87F" w14:textId="10BF5CBD" w:rsidR="00AC4F96" w:rsidRPr="00BD1708" w:rsidRDefault="00AC4F96" w:rsidP="00AC4F96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 Liście Pan Jezus przedstawia się jako oczyszczający wspólnotę i podstawa jej jedności. Jego nogi podobne są do „drogocennego metalu”, a dosłownie,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oryginalnym tekście, do „spiżowego kadzidła”. To nawiązanie do Starego Testamentu. Królowi Nabuchodonozorowi przyśnił się posąg z drogocennego metalu, którego stopy były zrobione z mieszanki żelaza i gliny. Oznaczało to, że jego królestwo będzie niespójne 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się rozpadnie (</w:t>
      </w:r>
      <w:proofErr w:type="spellStart"/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Dn</w:t>
      </w:r>
      <w:proofErr w:type="spellEnd"/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2, 41. 43). W przeciwieństwie do tego obrazu królestwo Jezusa będzie się cechowało jednością i trwałością. Choć siłą Kościoła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Tiatyrze jest ciągły rozwój dobrych cech: miłości, wiary, służby, to grozi mu niebezpieczeństwo. We</w:t>
      </w:r>
      <w:r w:rsidR="00276D9F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wspólnocie działają ludzie, którzy odciągają od Jezusa, a inni, zbyt skupieni na</w:t>
      </w:r>
      <w:r w:rsidR="00276D9F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własnej pobożności i szczęściu, nie troszczą się o stan wiary i życie braci. W ten sposób sami się coraz bardziej od Niego oddalają. Drogą dla Kościoła w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F77053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Tiatyrze jest powrót do jedności z Panem i ze sobą nawzajem. </w:t>
      </w:r>
    </w:p>
    <w:p w14:paraId="5E5E1F1A" w14:textId="77777777" w:rsidR="00D03F1E" w:rsidRDefault="00D03F1E"/>
    <w:sectPr w:rsidR="00D0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15C8" w14:textId="77777777" w:rsidR="00AB7CBD" w:rsidRDefault="00AB7CBD" w:rsidP="00AC4F96">
      <w:pPr>
        <w:spacing w:after="0" w:line="240" w:lineRule="auto"/>
      </w:pPr>
      <w:r>
        <w:separator/>
      </w:r>
    </w:p>
  </w:endnote>
  <w:endnote w:type="continuationSeparator" w:id="0">
    <w:p w14:paraId="5568204A" w14:textId="77777777" w:rsidR="00AB7CBD" w:rsidRDefault="00AB7CBD" w:rsidP="00AC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797E" w14:textId="77777777" w:rsidR="00AB7CBD" w:rsidRDefault="00AB7CBD" w:rsidP="00AC4F96">
      <w:pPr>
        <w:spacing w:after="0" w:line="240" w:lineRule="auto"/>
      </w:pPr>
      <w:r>
        <w:separator/>
      </w:r>
    </w:p>
  </w:footnote>
  <w:footnote w:type="continuationSeparator" w:id="0">
    <w:p w14:paraId="1A4F7218" w14:textId="77777777" w:rsidR="00AB7CBD" w:rsidRDefault="00AB7CBD" w:rsidP="00AC4F96">
      <w:pPr>
        <w:spacing w:after="0" w:line="240" w:lineRule="auto"/>
      </w:pPr>
      <w:r>
        <w:continuationSeparator/>
      </w:r>
    </w:p>
  </w:footnote>
  <w:footnote w:id="1">
    <w:p w14:paraId="026EBCD4" w14:textId="77777777" w:rsidR="00AC4F96" w:rsidRPr="007911FB" w:rsidRDefault="00AC4F96" w:rsidP="00AC4F96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Calibri"/>
          <w:color w:val="000000"/>
          <w:sz w:val="20"/>
          <w:szCs w:val="20"/>
        </w:rPr>
        <w:t>Anioł – przełożony wspólnoty, do której kierowany jest list.</w:t>
      </w:r>
    </w:p>
  </w:footnote>
  <w:footnote w:id="2">
    <w:p w14:paraId="6D4EB893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Tiatyra – miasto „przemysłu” metalurgicznego; stąd w Liście mowa o ogniu i metalu.</w:t>
      </w:r>
    </w:p>
  </w:footnote>
  <w:footnote w:id="3">
    <w:p w14:paraId="000BDC04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Jezus przenika najskrytsze tajemnice świata i ludzkiego serca; relacja z Nim oczyszcza, zapala, osądza, wypala zło, zbawia.</w:t>
      </w:r>
    </w:p>
  </w:footnote>
  <w:footnote w:id="4">
    <w:p w14:paraId="62042C30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</w:t>
      </w:r>
      <w:proofErr w:type="spellStart"/>
      <w:r w:rsidRPr="007911FB">
        <w:rPr>
          <w:rFonts w:ascii="Lato" w:hAnsi="Lato"/>
        </w:rPr>
        <w:t>Jezabel</w:t>
      </w:r>
      <w:proofErr w:type="spellEnd"/>
      <w:r w:rsidRPr="007911FB">
        <w:rPr>
          <w:rFonts w:ascii="Lato" w:hAnsi="Lato"/>
        </w:rPr>
        <w:t xml:space="preserve"> – może dawna kapłanka pogańska, która pogańskie zwyczaje próbowała przeszczepić na grunt Kościoła. Imię symboliczne; biblijna </w:t>
      </w:r>
      <w:proofErr w:type="spellStart"/>
      <w:r w:rsidRPr="007911FB">
        <w:rPr>
          <w:rFonts w:ascii="Lato" w:hAnsi="Lato"/>
        </w:rPr>
        <w:t>Jezabel</w:t>
      </w:r>
      <w:proofErr w:type="spellEnd"/>
      <w:r w:rsidRPr="007911FB">
        <w:rPr>
          <w:rFonts w:ascii="Lato" w:hAnsi="Lato"/>
        </w:rPr>
        <w:t xml:space="preserve">, królowa Izraela, zwodziła lud do niewiary (1 </w:t>
      </w:r>
      <w:proofErr w:type="spellStart"/>
      <w:r w:rsidRPr="007911FB">
        <w:rPr>
          <w:rFonts w:ascii="Lato" w:hAnsi="Lato"/>
        </w:rPr>
        <w:t>Krl</w:t>
      </w:r>
      <w:proofErr w:type="spellEnd"/>
      <w:r w:rsidRPr="007911FB">
        <w:rPr>
          <w:rFonts w:ascii="Lato" w:hAnsi="Lato"/>
        </w:rPr>
        <w:t xml:space="preserve"> 16,31).</w:t>
      </w:r>
    </w:p>
  </w:footnote>
  <w:footnote w:id="5">
    <w:p w14:paraId="55202A1E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Odejście od wiary w jedynego Boga do kultu fałszywych bożków (por. Jer 3,2-9), wskutek tego niemoralne życie.</w:t>
      </w:r>
    </w:p>
  </w:footnote>
  <w:footnote w:id="6">
    <w:p w14:paraId="4DFCB1F7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Bóg przenika ludzkie myśli i pragnienia (por. </w:t>
      </w:r>
      <w:proofErr w:type="spellStart"/>
      <w:r w:rsidRPr="007911FB">
        <w:rPr>
          <w:rFonts w:ascii="Lato" w:hAnsi="Lato"/>
        </w:rPr>
        <w:t>Ps</w:t>
      </w:r>
      <w:proofErr w:type="spellEnd"/>
      <w:r w:rsidRPr="007911FB">
        <w:rPr>
          <w:rFonts w:ascii="Lato" w:hAnsi="Lato"/>
        </w:rPr>
        <w:t xml:space="preserve"> 7,10; Jer 17,9).</w:t>
      </w:r>
    </w:p>
  </w:footnote>
  <w:footnote w:id="7">
    <w:p w14:paraId="72442E3D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To określenie oznacza herezję gnozy – przekonanie, że posiada się tajemną wiedzę, która chroni przed</w:t>
      </w:r>
    </w:p>
    <w:p w14:paraId="3CAECE60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Fonts w:ascii="Lato" w:hAnsi="Lato"/>
        </w:rPr>
        <w:t>działaniem Złego i zapewni zbawienie. Towarzyszy temu zapomnienie o Jezusie i Jego Ewangelii.</w:t>
      </w:r>
    </w:p>
  </w:footnote>
  <w:footnote w:id="8">
    <w:p w14:paraId="1930083A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Obietnica udziału we władzy Mesjasza (</w:t>
      </w:r>
      <w:proofErr w:type="spellStart"/>
      <w:r w:rsidRPr="007911FB">
        <w:rPr>
          <w:rFonts w:ascii="Lato" w:hAnsi="Lato"/>
        </w:rPr>
        <w:t>Ps</w:t>
      </w:r>
      <w:proofErr w:type="spellEnd"/>
      <w:r w:rsidRPr="007911FB">
        <w:rPr>
          <w:rFonts w:ascii="Lato" w:hAnsi="Lato"/>
        </w:rPr>
        <w:t xml:space="preserve"> 2, 8n).</w:t>
      </w:r>
    </w:p>
  </w:footnote>
  <w:footnote w:id="9">
    <w:p w14:paraId="62B85A42" w14:textId="77777777" w:rsidR="00AC4F96" w:rsidRPr="007911FB" w:rsidRDefault="00AC4F96" w:rsidP="00AC4F9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Jezus (2 P 1, 19), który daje samego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6"/>
    <w:rsid w:val="00020CD2"/>
    <w:rsid w:val="000D2EFC"/>
    <w:rsid w:val="00254129"/>
    <w:rsid w:val="00276D9F"/>
    <w:rsid w:val="0055343C"/>
    <w:rsid w:val="00AB7CBD"/>
    <w:rsid w:val="00AC4F96"/>
    <w:rsid w:val="00BE67D4"/>
    <w:rsid w:val="00D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ACD5"/>
  <w15:chartTrackingRefBased/>
  <w15:docId w15:val="{1D21BBDF-4144-44EC-8745-8B41ACD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F96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F96"/>
    <w:rPr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Piotr Żuber</cp:lastModifiedBy>
  <cp:revision>3</cp:revision>
  <dcterms:created xsi:type="dcterms:W3CDTF">2023-11-24T11:21:00Z</dcterms:created>
  <dcterms:modified xsi:type="dcterms:W3CDTF">2023-11-24T11:39:00Z</dcterms:modified>
</cp:coreProperties>
</file>